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E98" w:rsidRPr="00653185" w:rsidRDefault="00860E98" w:rsidP="00860E98">
      <w:pPr>
        <w:pStyle w:val="2"/>
        <w:tabs>
          <w:tab w:val="num" w:pos="0"/>
        </w:tabs>
        <w:rPr>
          <w:rFonts w:ascii="Arial" w:hAnsi="Arial" w:cs="Arial"/>
          <w:b/>
          <w:sz w:val="32"/>
          <w:szCs w:val="32"/>
        </w:rPr>
      </w:pPr>
      <w:r w:rsidRPr="00653185">
        <w:rPr>
          <w:rFonts w:ascii="Arial" w:hAnsi="Arial" w:cs="Arial"/>
          <w:b/>
          <w:sz w:val="32"/>
          <w:szCs w:val="32"/>
        </w:rPr>
        <w:t>АДМИНИСТРАЦИЯ</w:t>
      </w:r>
    </w:p>
    <w:p w:rsidR="00653185" w:rsidRDefault="00860E98" w:rsidP="00860E98">
      <w:pPr>
        <w:pStyle w:val="2"/>
        <w:tabs>
          <w:tab w:val="num" w:pos="0"/>
        </w:tabs>
        <w:rPr>
          <w:rFonts w:ascii="Arial" w:hAnsi="Arial" w:cs="Arial"/>
          <w:b/>
          <w:sz w:val="32"/>
          <w:szCs w:val="32"/>
        </w:rPr>
      </w:pPr>
      <w:r w:rsidRPr="00653185">
        <w:rPr>
          <w:rFonts w:ascii="Arial" w:hAnsi="Arial" w:cs="Arial"/>
          <w:b/>
          <w:sz w:val="32"/>
          <w:szCs w:val="32"/>
        </w:rPr>
        <w:t>ИВАНОВСКОГО СЕЛЬСОВЕТА</w:t>
      </w:r>
    </w:p>
    <w:p w:rsidR="00860E98" w:rsidRPr="00653185" w:rsidRDefault="00860E98" w:rsidP="00860E98">
      <w:pPr>
        <w:pStyle w:val="2"/>
        <w:tabs>
          <w:tab w:val="num" w:pos="0"/>
        </w:tabs>
        <w:rPr>
          <w:rFonts w:ascii="Arial" w:hAnsi="Arial" w:cs="Arial"/>
          <w:b/>
          <w:sz w:val="32"/>
          <w:szCs w:val="32"/>
        </w:rPr>
      </w:pPr>
      <w:r w:rsidRPr="00653185">
        <w:rPr>
          <w:rFonts w:ascii="Arial" w:hAnsi="Arial" w:cs="Arial"/>
          <w:b/>
          <w:sz w:val="32"/>
          <w:szCs w:val="32"/>
        </w:rPr>
        <w:t xml:space="preserve"> РЫЛЬСКОГО РАЙОНА</w:t>
      </w:r>
    </w:p>
    <w:p w:rsidR="00860E98" w:rsidRPr="00653185" w:rsidRDefault="00860E98" w:rsidP="00860E98">
      <w:pPr>
        <w:rPr>
          <w:rFonts w:ascii="Arial" w:hAnsi="Arial" w:cs="Arial"/>
          <w:b/>
          <w:sz w:val="32"/>
          <w:szCs w:val="32"/>
        </w:rPr>
      </w:pPr>
    </w:p>
    <w:p w:rsidR="00860E98" w:rsidRPr="00653185" w:rsidRDefault="00860E98" w:rsidP="00860E98">
      <w:pPr>
        <w:jc w:val="center"/>
        <w:rPr>
          <w:rFonts w:ascii="Arial" w:hAnsi="Arial" w:cs="Arial"/>
          <w:b/>
          <w:sz w:val="32"/>
          <w:szCs w:val="32"/>
        </w:rPr>
      </w:pPr>
      <w:r w:rsidRPr="00653185">
        <w:rPr>
          <w:rFonts w:ascii="Arial" w:hAnsi="Arial" w:cs="Arial"/>
          <w:b/>
          <w:sz w:val="32"/>
          <w:szCs w:val="32"/>
        </w:rPr>
        <w:t>ПОСТАНОВЛЕНИЕ</w:t>
      </w:r>
    </w:p>
    <w:p w:rsidR="00C73540" w:rsidRDefault="00653185" w:rsidP="00860E9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C73540" w:rsidRPr="00653185">
        <w:rPr>
          <w:rFonts w:ascii="Arial" w:hAnsi="Arial" w:cs="Arial"/>
          <w:b/>
          <w:sz w:val="32"/>
          <w:szCs w:val="32"/>
        </w:rPr>
        <w:t xml:space="preserve">т </w:t>
      </w:r>
      <w:r w:rsidR="00DD3F47">
        <w:rPr>
          <w:rFonts w:ascii="Arial" w:hAnsi="Arial" w:cs="Arial"/>
          <w:b/>
          <w:sz w:val="32"/>
          <w:szCs w:val="32"/>
        </w:rPr>
        <w:t>15 сентября 2017 года №174</w:t>
      </w:r>
    </w:p>
    <w:p w:rsidR="00653185" w:rsidRPr="00653185" w:rsidRDefault="00653185" w:rsidP="00860E98">
      <w:pPr>
        <w:jc w:val="center"/>
        <w:rPr>
          <w:rFonts w:ascii="Arial" w:hAnsi="Arial" w:cs="Arial"/>
          <w:b/>
          <w:sz w:val="32"/>
          <w:szCs w:val="32"/>
        </w:rPr>
      </w:pPr>
    </w:p>
    <w:p w:rsidR="00C73540" w:rsidRPr="002009AD" w:rsidRDefault="00C73540" w:rsidP="00860E98">
      <w:pPr>
        <w:jc w:val="center"/>
        <w:rPr>
          <w:rFonts w:ascii="Arial" w:hAnsi="Arial" w:cs="Arial"/>
          <w:b/>
          <w:sz w:val="28"/>
        </w:rPr>
      </w:pPr>
      <w:r w:rsidRPr="002009AD">
        <w:rPr>
          <w:rFonts w:ascii="Arial" w:hAnsi="Arial" w:cs="Arial"/>
          <w:b/>
          <w:sz w:val="28"/>
        </w:rPr>
        <w:t xml:space="preserve"> </w:t>
      </w:r>
      <w:r w:rsidR="00DD3F47" w:rsidRPr="002009AD">
        <w:rPr>
          <w:rFonts w:ascii="Arial" w:hAnsi="Arial" w:cs="Arial"/>
          <w:b/>
          <w:sz w:val="28"/>
        </w:rPr>
        <w:t>Об утверждении Перечня процедур в сфере строительства объектов капитального строительства нежилого назначения</w:t>
      </w:r>
    </w:p>
    <w:p w:rsidR="00860E98" w:rsidRPr="002009AD" w:rsidRDefault="00860E98" w:rsidP="00860E98">
      <w:pPr>
        <w:rPr>
          <w:rFonts w:ascii="Arial" w:hAnsi="Arial" w:cs="Arial"/>
          <w:sz w:val="28"/>
        </w:rPr>
      </w:pP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В целях реализации части 2 статьи 6 Градостроительного кодекса Российской Федерации, части 3 постановления Правительства Российской Федерации от 28.03.2017 №346 «Об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процедур, указанных в исчерпывающем перечне процедур в сфере строительства объектов капитального строительства нежилого назначения» Администрация Ивановского сельсовета Рыльского района постановляет: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1. Утвердить прилагаемый Перечень процедур в сфере строительства объектов капитального строительства нежилого назначения.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2. Постановление вступает в силу с 08</w:t>
      </w:r>
      <w:r w:rsidR="002009AD">
        <w:rPr>
          <w:rFonts w:ascii="Arial" w:hAnsi="Arial" w:cs="Arial"/>
        </w:rPr>
        <w:t xml:space="preserve"> </w:t>
      </w:r>
      <w:r w:rsidRPr="002009AD">
        <w:rPr>
          <w:rFonts w:ascii="Arial" w:hAnsi="Arial" w:cs="Arial"/>
        </w:rPr>
        <w:t>октября 2017 года.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Глава Ивановского сельсовета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Рыльского района                                                                Д.И. Великодный</w:t>
      </w:r>
    </w:p>
    <w:p w:rsidR="00DD3F47" w:rsidRPr="002009AD" w:rsidRDefault="00DD3F47" w:rsidP="00DD3F47">
      <w:pPr>
        <w:rPr>
          <w:rFonts w:ascii="Arial" w:hAnsi="Arial" w:cs="Arial"/>
        </w:rPr>
      </w:pPr>
      <w:r w:rsidRPr="002009AD">
        <w:rPr>
          <w:rFonts w:ascii="Arial" w:hAnsi="Arial" w:cs="Arial"/>
        </w:rPr>
        <w:br w:type="page"/>
      </w:r>
    </w:p>
    <w:p w:rsidR="00DD3F47" w:rsidRPr="002009AD" w:rsidRDefault="00DD3F47" w:rsidP="00DD3F47">
      <w:pPr>
        <w:ind w:firstLine="709"/>
        <w:jc w:val="right"/>
        <w:rPr>
          <w:rFonts w:ascii="Arial" w:hAnsi="Arial" w:cs="Arial"/>
        </w:rPr>
      </w:pPr>
      <w:r w:rsidRPr="002009AD">
        <w:rPr>
          <w:rFonts w:ascii="Arial" w:hAnsi="Arial" w:cs="Arial"/>
        </w:rPr>
        <w:lastRenderedPageBreak/>
        <w:t>Утвержден</w:t>
      </w:r>
    </w:p>
    <w:p w:rsidR="002009AD" w:rsidRDefault="002009AD" w:rsidP="00DD3F47">
      <w:pPr>
        <w:ind w:firstLine="709"/>
        <w:jc w:val="right"/>
        <w:rPr>
          <w:rFonts w:ascii="Arial" w:hAnsi="Arial" w:cs="Arial"/>
        </w:rPr>
      </w:pPr>
      <w:r w:rsidRPr="002009AD">
        <w:rPr>
          <w:rFonts w:ascii="Arial" w:hAnsi="Arial" w:cs="Arial"/>
        </w:rPr>
        <w:t>П</w:t>
      </w:r>
      <w:r w:rsidR="00DD3F47" w:rsidRPr="002009AD">
        <w:rPr>
          <w:rFonts w:ascii="Arial" w:hAnsi="Arial" w:cs="Arial"/>
        </w:rPr>
        <w:t>остановлением</w:t>
      </w:r>
      <w:r>
        <w:rPr>
          <w:rFonts w:ascii="Arial" w:hAnsi="Arial" w:cs="Arial"/>
        </w:rPr>
        <w:t xml:space="preserve"> </w:t>
      </w:r>
      <w:r w:rsidR="00DD3F47" w:rsidRPr="002009AD">
        <w:rPr>
          <w:rFonts w:ascii="Arial" w:hAnsi="Arial" w:cs="Arial"/>
        </w:rPr>
        <w:t xml:space="preserve">Администрации </w:t>
      </w:r>
    </w:p>
    <w:p w:rsidR="00DD3F47" w:rsidRPr="002009AD" w:rsidRDefault="00DD3F47" w:rsidP="00DD3F47">
      <w:pPr>
        <w:ind w:firstLine="709"/>
        <w:jc w:val="right"/>
        <w:rPr>
          <w:rFonts w:ascii="Arial" w:hAnsi="Arial" w:cs="Arial"/>
        </w:rPr>
      </w:pPr>
      <w:bookmarkStart w:id="0" w:name="_GoBack"/>
      <w:bookmarkEnd w:id="0"/>
      <w:r w:rsidRPr="002009AD">
        <w:rPr>
          <w:rFonts w:ascii="Arial" w:hAnsi="Arial" w:cs="Arial"/>
        </w:rPr>
        <w:t>Ивановского сельсовета Рыльского района</w:t>
      </w:r>
    </w:p>
    <w:p w:rsidR="00DD3F47" w:rsidRPr="002009AD" w:rsidRDefault="00DD3F47" w:rsidP="00DD3F47">
      <w:pPr>
        <w:ind w:firstLine="709"/>
        <w:jc w:val="right"/>
        <w:rPr>
          <w:rFonts w:ascii="Arial" w:hAnsi="Arial" w:cs="Arial"/>
        </w:rPr>
      </w:pPr>
      <w:r w:rsidRPr="002009AD">
        <w:rPr>
          <w:rFonts w:ascii="Arial" w:hAnsi="Arial" w:cs="Arial"/>
        </w:rPr>
        <w:t xml:space="preserve">от </w:t>
      </w:r>
      <w:r w:rsidR="002009AD">
        <w:rPr>
          <w:rFonts w:ascii="Arial" w:hAnsi="Arial" w:cs="Arial"/>
        </w:rPr>
        <w:t>15 сентября</w:t>
      </w:r>
      <w:r w:rsidRPr="002009AD">
        <w:rPr>
          <w:rFonts w:ascii="Arial" w:hAnsi="Arial" w:cs="Arial"/>
        </w:rPr>
        <w:t xml:space="preserve"> 2017 года</w:t>
      </w:r>
      <w:r w:rsidR="002009AD">
        <w:rPr>
          <w:rFonts w:ascii="Arial" w:hAnsi="Arial" w:cs="Arial"/>
        </w:rPr>
        <w:t xml:space="preserve"> №174</w:t>
      </w:r>
    </w:p>
    <w:p w:rsidR="00DD3F47" w:rsidRPr="002009AD" w:rsidRDefault="00DD3F47" w:rsidP="00DD3F47">
      <w:pPr>
        <w:ind w:firstLine="709"/>
        <w:jc w:val="center"/>
        <w:rPr>
          <w:rFonts w:ascii="Arial" w:hAnsi="Arial" w:cs="Arial"/>
          <w:b/>
        </w:rPr>
      </w:pPr>
    </w:p>
    <w:p w:rsidR="00DD3F47" w:rsidRPr="002009AD" w:rsidRDefault="00DD3F47" w:rsidP="00DD3F47">
      <w:pPr>
        <w:ind w:firstLine="709"/>
        <w:jc w:val="center"/>
        <w:rPr>
          <w:rFonts w:ascii="Arial" w:hAnsi="Arial" w:cs="Arial"/>
          <w:b/>
        </w:rPr>
      </w:pPr>
    </w:p>
    <w:p w:rsidR="00DD3F47" w:rsidRPr="002009AD" w:rsidRDefault="00DD3F47" w:rsidP="00DD3F47">
      <w:pPr>
        <w:ind w:firstLine="709"/>
        <w:jc w:val="center"/>
        <w:rPr>
          <w:rFonts w:ascii="Arial" w:hAnsi="Arial" w:cs="Arial"/>
          <w:b/>
        </w:rPr>
      </w:pPr>
    </w:p>
    <w:p w:rsidR="00DD3F47" w:rsidRPr="002009AD" w:rsidRDefault="00DD3F47" w:rsidP="00DD3F47">
      <w:pPr>
        <w:ind w:firstLine="709"/>
        <w:jc w:val="center"/>
        <w:rPr>
          <w:rFonts w:ascii="Arial" w:hAnsi="Arial" w:cs="Arial"/>
          <w:b/>
        </w:rPr>
      </w:pPr>
    </w:p>
    <w:p w:rsidR="00DD3F47" w:rsidRPr="002009AD" w:rsidRDefault="00DD3F47" w:rsidP="00DD3F47">
      <w:pPr>
        <w:ind w:firstLine="709"/>
        <w:jc w:val="center"/>
        <w:rPr>
          <w:rFonts w:ascii="Arial" w:hAnsi="Arial" w:cs="Arial"/>
          <w:b/>
        </w:rPr>
      </w:pPr>
      <w:r w:rsidRPr="002009AD">
        <w:rPr>
          <w:rFonts w:ascii="Arial" w:hAnsi="Arial" w:cs="Arial"/>
          <w:b/>
        </w:rPr>
        <w:t>Перечень</w:t>
      </w:r>
    </w:p>
    <w:p w:rsidR="00DD3F47" w:rsidRPr="002009AD" w:rsidRDefault="00DD3F47" w:rsidP="00DD3F47">
      <w:pPr>
        <w:ind w:firstLine="709"/>
        <w:jc w:val="center"/>
        <w:rPr>
          <w:rFonts w:ascii="Arial" w:hAnsi="Arial" w:cs="Arial"/>
          <w:b/>
        </w:rPr>
      </w:pPr>
      <w:r w:rsidRPr="002009AD">
        <w:rPr>
          <w:rFonts w:ascii="Arial" w:hAnsi="Arial" w:cs="Arial"/>
          <w:b/>
        </w:rPr>
        <w:t>процедур в сфере строительства объектов капитального строительства нежилого назначения</w:t>
      </w:r>
    </w:p>
    <w:p w:rsidR="00DD3F47" w:rsidRPr="002009AD" w:rsidRDefault="00DD3F47" w:rsidP="00DD3F47">
      <w:pPr>
        <w:ind w:firstLine="709"/>
        <w:jc w:val="center"/>
        <w:rPr>
          <w:rFonts w:ascii="Arial" w:hAnsi="Arial" w:cs="Arial"/>
          <w:b/>
        </w:rPr>
      </w:pP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</w:p>
    <w:p w:rsidR="00DD3F47" w:rsidRPr="002009AD" w:rsidRDefault="00DD3F47" w:rsidP="00DD3F47">
      <w:pPr>
        <w:ind w:firstLine="709"/>
        <w:jc w:val="center"/>
        <w:rPr>
          <w:rFonts w:ascii="Arial" w:hAnsi="Arial" w:cs="Arial"/>
          <w:b/>
        </w:rPr>
      </w:pPr>
      <w:r w:rsidRPr="002009AD">
        <w:rPr>
          <w:rFonts w:ascii="Arial" w:hAnsi="Arial" w:cs="Arial"/>
          <w:b/>
        </w:rPr>
        <w:t>I. Процедуры, предусмотренные нормативными правовыми актами Российской Федерации</w:t>
      </w:r>
    </w:p>
    <w:p w:rsidR="00DD3F47" w:rsidRPr="002009AD" w:rsidRDefault="00DD3F47" w:rsidP="00DD3F47">
      <w:pPr>
        <w:ind w:firstLine="709"/>
        <w:jc w:val="center"/>
        <w:rPr>
          <w:rFonts w:ascii="Arial" w:hAnsi="Arial" w:cs="Arial"/>
          <w:b/>
        </w:rPr>
      </w:pPr>
    </w:p>
    <w:p w:rsidR="00DD3F47" w:rsidRPr="002009AD" w:rsidRDefault="00DD3F47" w:rsidP="00DD3F47">
      <w:pPr>
        <w:ind w:firstLine="709"/>
        <w:jc w:val="center"/>
        <w:rPr>
          <w:rFonts w:ascii="Arial" w:hAnsi="Arial" w:cs="Arial"/>
          <w:b/>
        </w:rPr>
      </w:pPr>
      <w:r w:rsidRPr="002009AD">
        <w:rPr>
          <w:rFonts w:ascii="Arial" w:hAnsi="Arial" w:cs="Arial"/>
          <w:b/>
        </w:rPr>
        <w:t>1. Процедуры, связанные с предоставлением прав на земельный участок и подготовкой документации по планировке территории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1. Организация и проведение аукциона на право заключить договор о развитии застроенной территории.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2. Заключение договора о развитии застроенной территории.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3. Принятие решения о подготовке документации по планировке территории.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4. Утверждение документации по планировке территории.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5. Заключение договора аренды земельного участка для комплексного освоения территории.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6. Заключение договора о комплексном освоении территории.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7. Предоставление межевого плана.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8. Принятие решения об утверждении схемы расположения земельного участка на кадастровом плане территории.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9. Постановка на государственный кадастровый учет объекта недвижимости - земельного участка.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10. Государственная регистрация права собственности на земельный участок или договора аренды земельного участка.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11. Предоставление разрешения на отклонение от предельных параметров разрешенного строительства.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12. Предоставление разрешения на условно разрешенный вид использования земельного участка.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13. Предоставление согласования проектирования и строительства объектов в пределах приаэродромной территории.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14. Предоставление согласования строительства и размещения объектов, высота которых свыше 50 метров, вне района аэродрома (вертодрома).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15. Предоставление градостроительного плана земельного участка.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16. Предоставление согласия на планируемое размещение объектов в границах полосы отвода автомобильной дороги.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17. Предоставление согласования размещения объектов в границах полосы отвода железных дорог.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18. Предоставление согласования строительства и размещения объектов в районе аэродрома (вертодрома).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</w:p>
    <w:p w:rsidR="00DD3F47" w:rsidRPr="002009AD" w:rsidRDefault="00DD3F47" w:rsidP="00DD3F47">
      <w:pPr>
        <w:ind w:firstLine="709"/>
        <w:jc w:val="center"/>
        <w:rPr>
          <w:rFonts w:ascii="Arial" w:hAnsi="Arial" w:cs="Arial"/>
          <w:b/>
        </w:rPr>
      </w:pPr>
      <w:r w:rsidRPr="002009AD">
        <w:rPr>
          <w:rFonts w:ascii="Arial" w:hAnsi="Arial" w:cs="Arial"/>
          <w:b/>
        </w:rPr>
        <w:t>2. Процедуры, связанные с предоставлением прав на лесной участок и его использованием для целей строительства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19. Утверждение проектной документации лесного участка.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lastRenderedPageBreak/>
        <w:t>20. Организация и проведение аукциона на право заключения договора аренды лесного участка.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21. Утверждение положительного заключения государственной или муниципальной экспертизы проекта освоения лесов.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22. Направление лесной декларации.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23. Направление отчета об использовании лесов.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24. Направление отчета об охране и защите лесов.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25. Направление отчета о воспроизводстве лесов и лесоразведении.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</w:p>
    <w:p w:rsidR="00DD3F47" w:rsidRPr="002009AD" w:rsidRDefault="00DD3F47" w:rsidP="00DD3F47">
      <w:pPr>
        <w:ind w:firstLine="709"/>
        <w:jc w:val="center"/>
        <w:rPr>
          <w:rFonts w:ascii="Arial" w:hAnsi="Arial" w:cs="Arial"/>
          <w:b/>
        </w:rPr>
      </w:pPr>
      <w:r w:rsidRPr="002009AD">
        <w:rPr>
          <w:rFonts w:ascii="Arial" w:hAnsi="Arial" w:cs="Arial"/>
          <w:b/>
        </w:rPr>
        <w:t>3. Процедуры, связанные с заключением договоров подключения (технологического присоединения) объектов капитального строительства нежилого назначения к сетям инженерно-технического обеспечения (к электрическим сетям), а также с архитектурно-строительным проектированием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26. Предоставление технических условий для подключения (технологического присоединения) к электрическим сетям.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27. Заключение договора об осуществлении технологического присоединения к объектам электросетевого хозяйства.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28. Предоставление технических условий подключения объекта капитального строительства к сети инженерно-технического обеспечения в сфере теплоснабжения.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29. Заключение договора о подключении (технологическом присоединении) к системе теплоснабжения.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30. Предоставление технических условий на проектирование узла учета тепловой энергии.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31. Предоставление технических условий на подключение (присоединение) к централизованным системам горячего водоснабжения.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32. Заключение договора о подключении (технологическом присоединении) к централизованным системам горячего водоснабжения.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33. Предоставление технических условий на подключение (технологическое присоединение) к централизованным системам холодного водоснабжения.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34. Заключение договора о подключении (технологическом присоединении) к централизованной системе холодного водоснабжения.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35. Предоставление технических условий на подключение (технологическое присоединение) к централизованным бытовым или общесплавным системам водоотведения.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36. Заключение договора о подключении (технологическом присоединении) к централизованным бытовым или общесплавным системам водоотведения.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37. Предоставление технических условий на подключение (технологическое присоединение) к централизованным ливневым системам водоотведения.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38. Заключение договора о подключении (технологическом присоединении) к централизованной ливневой системе водоотведения.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39. Предоставление технических условий на проектирование узла учета воды, сточных вод.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40. Предоставление технических условий на подключение (технологическое присоединение) к сетям газораспределения.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41. Заключение договора о подключении (технологическом присоединении) к сети газораспределения.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42. Предоставление технических условий по эффективному использованию газа.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43. Предоставление согласования отступления от технических условий на присоединение к газораспределительной системе.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44. Предоставление согласования отступления от технических условий по эффективному использованию газа.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lastRenderedPageBreak/>
        <w:t>45. Предоставление согласования специальных технических условий для подготовки проектной документации.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46. Предоставление согласования специальных технических условий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47. Предоставление согласования отступления от условий подключения к системе теплоснабжения.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48. Предоставление согласования проекта узла учета тепловой энергии.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49. Предоставление положительного заключения экспертизы результатов инженерных изысканий.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50. Предоставление положительного заключения экспертизы проектной документации.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51. Предоставление положительного заключения о достоверности определения сметной стоимости объекта капитального строительства.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52. Предоставление заключения историко-культурной экспертизы.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53. Регистрация проекта газоснабжения газораспределительной организацией.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54. Регистрация проекта газоснабжения органом государственного надзора.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</w:p>
    <w:p w:rsidR="00DD3F47" w:rsidRPr="002009AD" w:rsidRDefault="00DD3F47" w:rsidP="00DD3F47">
      <w:pPr>
        <w:ind w:firstLine="709"/>
        <w:jc w:val="center"/>
        <w:rPr>
          <w:rFonts w:ascii="Arial" w:hAnsi="Arial" w:cs="Arial"/>
          <w:b/>
        </w:rPr>
      </w:pPr>
      <w:r w:rsidRPr="002009AD">
        <w:rPr>
          <w:rFonts w:ascii="Arial" w:hAnsi="Arial" w:cs="Arial"/>
          <w:b/>
        </w:rPr>
        <w:t>4. Процедуры, связанные с осуществлением строительства, реконструкции объектов капитального строительства нежилого назначения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55. Предоставление разрешения на строительство.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56. Продление срока действия разрешения на строительство.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57. Внесение изменений в разрешение на строительство.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58. Передача материалов для размещения в информационной системе обеспечения градостроительной деятельности.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59. Представление проектной декларации в орган, осуществляющий государственную регистрацию прав на недвижимое имущество и сделок с ним.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60. Представление проектной декларации в контролирующий орган.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61. Проведение проверок соблюдения лицами, привлекающими денежные средства граждан для строительства, обязательных требований законодательства об участии в долевом строительстве многоквартирных домов и (или) иных объектов недвижимости.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62. Государственная регистрация договора участия в долевом строительстве.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63. Заключение договора об осуществлении временного технологического присоединения к электрическим сетям.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64. Заключение договора горячего водоснабжения строящегося (не введенного в эксплуатацию) объекта на период строительства.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65. Заключение договора холодного водоснабжения в отношении строящегося объекта на период строительства.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66. Заключение договора водоотведения в отношении строящегося объекта на период строительства.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67. Направление извещения о начале строительства, реконструкции объекта капитального строительства.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68. Направление извещения о возникновении аварийной ситуации на объекте капитального строительства.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69. Направление извещения об обнаружении объекта, обладающего признаками объекта культурного наследия.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70. Направление извещения о сроках завершения работ, которые подлежат проверке.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71. Проведение проверок в рамках осуществления государственного строительного надзора.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lastRenderedPageBreak/>
        <w:t>72. Предоставление результатов экспертизы, обследований, лабораторных и иных испытаний выполненных работ и применяемых строительных материалов, назначенных органом государственного строительного надзора.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73. Направление извещения об устранении нарушений.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74. Предоставление акта проверки объекта капитального строительства, строительство которого завершено, по результатам проведенной проверки при осуществлении государственного строительного надзора.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75. Предоставление санитарно-эпидемиологического заключения о соответствии проекта расчетной санитарно-защитной зоны для промышленных объектов и производств, отнесенных к I - III классам опасности, в том числе для промышленных объектов и производств, не включенных в санитарную классификацию, а также с новыми, недостаточно изученными технологиями, не имеющими аналогов в Российской Федерации и за рубежом, требованиям государственных санитарно-эпидемиологических правил и нормативов.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</w:p>
    <w:p w:rsidR="00DD3F47" w:rsidRPr="002009AD" w:rsidRDefault="00DD3F47" w:rsidP="00DD3F47">
      <w:pPr>
        <w:ind w:firstLine="709"/>
        <w:jc w:val="center"/>
        <w:rPr>
          <w:rFonts w:ascii="Arial" w:hAnsi="Arial" w:cs="Arial"/>
          <w:b/>
        </w:rPr>
      </w:pPr>
      <w:r w:rsidRPr="002009AD">
        <w:rPr>
          <w:rFonts w:ascii="Arial" w:hAnsi="Arial" w:cs="Arial"/>
          <w:b/>
        </w:rPr>
        <w:t>5. Процедуры, связанные с предоставлением разрешения на ввод объекта капитального строительства нежилого помещения в эксплуатацию, государственной регистрацией прав на построенный объект, заключением договоров энерго-, тепло-, водо-, газоснабжения и водоотведения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76. Предоставление акта допуска прибора учета электрической энергии в эксплуатацию.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77. Подписание акта о выполнении технических условий для присоединения к электрическим сетям.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78. Подписание акта осмотра (обследования) электроустановки.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79. Уведомление о готовности к вводу в эксплуатацию объектов.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80. Предоставление разрешения органа федерального государственного энергетического надзора на допуск в эксплуатацию энергопринимающих устройств.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81. Подписание акта разграничения балансовой принадлежности электрических сетей.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82. Подписание акта разграничения эксплуатационной ответственности сторон в отношении электрических сетей.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83. Подписание акта об осуществлении технологического присоединения к электрическим сетям.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84. Заключение договора энергоснабжения (купли-продажи (поставки) электрической энергии (мощности) и договора об оказании услуг по передаче электрической энергии.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85. Подписание акта ввода в эксплуатацию узла учета тепловой энергии.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86. Подписание акта о готовности внутриплощадочных и (или) внутридомовых сетей и оборудования подключаемого объекта к подаче тепловой энергии и теплоносителя.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87. Подписание акта разграничения балансовой принадлежности тепловых сетей.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88. Подписание акта разграничения эксплуатационной ответственности сторон в отношении тепловых сетей.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89. Подписание акта о подключении объекта капитального строительства к системе теплоснабжения.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90. Предоставление разрешения на осуществление подключения к системе теплоснабжения.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91. Заключение договора теплоснабжения.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92. Предоставление акта допуска узла учета воды и сточных вод к эксплуатации.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93. Подписание акта о технической готовности объектов централизованной системы горячего водоснабжения.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lastRenderedPageBreak/>
        <w:t>94. Подписание акта разграничения балансовой принадлежности по объектам централизованной системы горячего водоснабжения.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95. Подписание акта эксплуатационной ответственности по объектам централизованной системы горячего водоснабжения.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96. Подписание акта о подключении (присоединении) объекта капитального строительства к централизованной системе горячего водоснабжения.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97. Заключение договора горячего водоснабжения.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98. Подписание акта о готовности внутриплощадочных и (или) внутридомовых сетей и оборудования к подключению (технологическому присоединению) к централизованной системе холодного водоснабжения.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99. Подписание акта о разграничении балансовой принадлежности по объектам централизованных систем холодного водоснабжения.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100. Подписание акта о разграничении эксплуатационной ответственности по объектам централизованных систем холодного водоснабжения.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101. Подписание акта о подключении (технологическом присоединении) к централизованной системе холодного водоснабжения.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102. Подписание акта о промывке и дезинфекции внутриплощадочных и внутридомовых сетей и оборудования объекта.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103. Заключение договора холодного водоснабжения.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104. Подписание акта о готовности внутриплощадочных и (или) внутридомовых сетей и оборудования объекта к подключению к централизованной системе водоотведения.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105. Подписание акта разграничения балансовой принадлежности по объектам централизованных систем водоотведения.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106. Подписание акта разграничения эксплуатационной ответственности по объектам централизованных систем водоотведения.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107. Подписание акта о подключении (технологическом присоединении) объекта к централизованной системе водоотведения.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108. Заключение договора водоотведения.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109. Подписание акта о готовности сетей газопотребления и газоиспользующего оборудования к подключению (технологическому присоединению).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110. Подписание акта разграничения имущественной принадлежности сетей газораспределения.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111. Подписание акта разграничения эксплуатационной ответственности сторон по объектам сети газораспределения.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112. Подписание акта о подключении (технологическом присоединении) к сети газораспределения.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113. Предоставление разрешения на пуск газа.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114. Предоставление акта обследования соответствия показателей энергоэффективности газоиспользующего оборудования паспортным или проектным показателям.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115. Подписание акта о приемке газового оборудования и средств автоматики для проведения пусконаладочных работ.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116. Подписание акта комиссии о приемке газоиспользующего оборудования для проведения пусконаладочных работ.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117. Заключение договора поставки газа.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118. Предоставление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119. Предоставление разрешения на ввод объекта в эксплуатацию.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lastRenderedPageBreak/>
        <w:t>120. Государственный кадастровый учет объекта недвижимости - здания, помещения.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121. Государственная регистрация права собственности на объект недвижимого имущества - здание, помещение.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122. Присвоение адреса объекту капитального строительства.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</w:p>
    <w:p w:rsidR="00DD3F47" w:rsidRPr="002009AD" w:rsidRDefault="00DD3F47" w:rsidP="00DD3F47">
      <w:pPr>
        <w:ind w:firstLine="709"/>
        <w:jc w:val="center"/>
        <w:rPr>
          <w:rFonts w:ascii="Arial" w:hAnsi="Arial" w:cs="Arial"/>
          <w:b/>
        </w:rPr>
      </w:pPr>
      <w:r w:rsidRPr="002009AD">
        <w:rPr>
          <w:rFonts w:ascii="Arial" w:hAnsi="Arial" w:cs="Arial"/>
          <w:b/>
        </w:rPr>
        <w:t>II. Процедуры, связанные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предусмотренные нормативными правовыми актами субъектов Российской Федерации или муниципальными правовыми актами представительных органов местного самоуправления</w:t>
      </w:r>
    </w:p>
    <w:p w:rsidR="00DD3F47" w:rsidRPr="002009AD" w:rsidRDefault="00DD3F47" w:rsidP="00DD3F47">
      <w:pPr>
        <w:ind w:firstLine="709"/>
        <w:jc w:val="center"/>
        <w:rPr>
          <w:rFonts w:ascii="Arial" w:hAnsi="Arial" w:cs="Arial"/>
          <w:b/>
        </w:rPr>
      </w:pP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123. Предоставление решения о согласовании архитектурно-градостроительного облика объекта.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124. Предоставление порубочного билета и (или) разрешения на пересадку деревьев и кустарников.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125. Предоставление разрешения на осуществление земляных работ.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126. Согласование схемы движения транспорта и пешеходов на период проведения работ на проезжей части.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127. 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128. Предоставление заключения о соответствии проектной документации сводному плану подземных коммуникаций и сооружений.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129. Согласование проведения работ в технических и охранных зонах.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  <w:r w:rsidRPr="002009AD">
        <w:rPr>
          <w:rFonts w:ascii="Arial" w:hAnsi="Arial" w:cs="Arial"/>
        </w:rPr>
        <w:t>130. Выдача разрешения на перемещение отходов строительства, сноса зданий и сооружений, в том числе грунтов.</w:t>
      </w:r>
    </w:p>
    <w:p w:rsidR="00DD3F47" w:rsidRPr="002009AD" w:rsidRDefault="00DD3F47" w:rsidP="00DD3F47">
      <w:pPr>
        <w:ind w:firstLine="709"/>
        <w:jc w:val="both"/>
        <w:rPr>
          <w:rFonts w:ascii="Arial" w:hAnsi="Arial" w:cs="Arial"/>
        </w:rPr>
      </w:pPr>
    </w:p>
    <w:p w:rsidR="00CB3B36" w:rsidRPr="00E928E7" w:rsidRDefault="00CB3B36" w:rsidP="00DD3F47">
      <w:pPr>
        <w:ind w:firstLine="900"/>
        <w:jc w:val="both"/>
        <w:rPr>
          <w:b/>
          <w:bCs/>
        </w:rPr>
      </w:pPr>
    </w:p>
    <w:sectPr w:rsidR="00CB3B36" w:rsidRPr="00E928E7" w:rsidSect="00DD3F47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725" w:rsidRDefault="00881725" w:rsidP="00A42AB0">
      <w:r>
        <w:separator/>
      </w:r>
    </w:p>
  </w:endnote>
  <w:endnote w:type="continuationSeparator" w:id="0">
    <w:p w:rsidR="00881725" w:rsidRDefault="00881725" w:rsidP="00A4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725" w:rsidRDefault="00881725" w:rsidP="00A42AB0">
      <w:r>
        <w:separator/>
      </w:r>
    </w:p>
  </w:footnote>
  <w:footnote w:type="continuationSeparator" w:id="0">
    <w:p w:rsidR="00881725" w:rsidRDefault="00881725" w:rsidP="00A42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C5814"/>
    <w:multiLevelType w:val="hybridMultilevel"/>
    <w:tmpl w:val="3504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5704B"/>
    <w:multiLevelType w:val="hybridMultilevel"/>
    <w:tmpl w:val="F9F85EE6"/>
    <w:lvl w:ilvl="0" w:tplc="3B349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02583B"/>
    <w:multiLevelType w:val="hybridMultilevel"/>
    <w:tmpl w:val="C0843B26"/>
    <w:lvl w:ilvl="0" w:tplc="88B27400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" w15:restartNumberingAfterBreak="0">
    <w:nsid w:val="68764FA2"/>
    <w:multiLevelType w:val="hybridMultilevel"/>
    <w:tmpl w:val="3504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98"/>
    <w:rsid w:val="000F7BB3"/>
    <w:rsid w:val="001E04BB"/>
    <w:rsid w:val="002009AD"/>
    <w:rsid w:val="00244DAF"/>
    <w:rsid w:val="00274FBE"/>
    <w:rsid w:val="002771C7"/>
    <w:rsid w:val="003240A1"/>
    <w:rsid w:val="005917E8"/>
    <w:rsid w:val="00653185"/>
    <w:rsid w:val="00653535"/>
    <w:rsid w:val="007969FD"/>
    <w:rsid w:val="00860E98"/>
    <w:rsid w:val="00881725"/>
    <w:rsid w:val="008F147C"/>
    <w:rsid w:val="00A42AB0"/>
    <w:rsid w:val="00B712C9"/>
    <w:rsid w:val="00C73540"/>
    <w:rsid w:val="00CB3B36"/>
    <w:rsid w:val="00CC6307"/>
    <w:rsid w:val="00CF24BA"/>
    <w:rsid w:val="00DD3F47"/>
    <w:rsid w:val="00E9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01EC"/>
  <w15:chartTrackingRefBased/>
  <w15:docId w15:val="{FD80E591-0BD0-4A26-B72E-7D5AE179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60E98"/>
    <w:pPr>
      <w:keepNext/>
      <w:jc w:val="center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0E98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A42A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2A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2A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42A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2A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Style0">
    <w:name w:val="TableStyle0"/>
    <w:rsid w:val="00CB3B36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B3B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3B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2405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Morozova</cp:lastModifiedBy>
  <cp:revision>3</cp:revision>
  <dcterms:created xsi:type="dcterms:W3CDTF">2018-03-26T07:03:00Z</dcterms:created>
  <dcterms:modified xsi:type="dcterms:W3CDTF">2018-03-26T07:04:00Z</dcterms:modified>
</cp:coreProperties>
</file>